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E0C6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t>24086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t>CENTAR ZA IZOBRAZBU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E0C6D" w:rsidRDefault="00734B66">
            <w:pPr>
              <w:spacing w:after="0" w:line="240" w:lineRule="auto"/>
            </w:pPr>
            <w:r>
              <w:t>11</w:t>
            </w:r>
          </w:p>
        </w:tc>
      </w:tr>
    </w:tbl>
    <w:p w:rsidR="005E0C6D" w:rsidRDefault="00734B66">
      <w:r>
        <w:br/>
      </w:r>
    </w:p>
    <w:p w:rsidR="005E0C6D" w:rsidRDefault="00734B6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E0C6D" w:rsidRDefault="00734B6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E0C6D" w:rsidRDefault="00734B6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444.441,88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555.491,29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421.397,08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 w:rsidRPr="00734B66">
              <w:rPr>
                <w:sz w:val="18"/>
              </w:rPr>
              <w:t>589.500,90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139,8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 w:rsidRPr="00734B66">
              <w:rPr>
                <w:b/>
                <w:sz w:val="18"/>
              </w:rPr>
              <w:t>34.009,61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20.475,15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5.435,33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26,5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 w:rsidRPr="00734B66">
              <w:rPr>
                <w:b/>
                <w:sz w:val="18"/>
              </w:rPr>
              <w:t>39.444,94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Ostvaren je manjak prihoda i primitaka  u iznosu od </w:t>
      </w:r>
      <w:r w:rsidRPr="00734B66">
        <w:t>39.444,94</w:t>
      </w:r>
      <w:r>
        <w:t xml:space="preserve"> </w:t>
      </w:r>
      <w:bookmarkStart w:id="0" w:name="_GoBack"/>
      <w:bookmarkEnd w:id="0"/>
      <w:r>
        <w:t>Eur u odnosu na prethodno razdoblje iz razloga sto je Okružnicom Ministarstva financija propisano da sa datumom 1. siječnja 2025. ukida podskupina računa 193 Kontinuirani rashodi budućih razdobl</w:t>
      </w:r>
      <w:r>
        <w:t>ja, te se prenose na rashode zaduženjem odgovarajućih osnovnih računa razreda 3 Rashodi poslovanja</w:t>
      </w:r>
    </w:p>
    <w:p w:rsidR="005E0C6D" w:rsidRDefault="00734B66">
      <w:r>
        <w:lastRenderedPageBreak/>
        <w:br/>
      </w:r>
    </w:p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342,3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Provedba projekta </w:t>
      </w:r>
      <w:proofErr w:type="spellStart"/>
      <w:r>
        <w:t>Erasmus</w:t>
      </w:r>
      <w:proofErr w:type="spellEnd"/>
      <w:r>
        <w:t xml:space="preserve">+ pod radnim nazivom „First IN </w:t>
      </w:r>
      <w:proofErr w:type="spellStart"/>
      <w:r>
        <w:t>then</w:t>
      </w:r>
      <w:proofErr w:type="spellEnd"/>
      <w:r>
        <w:t xml:space="preserve"> OUT“ – doznačena su sredstva na račun Centra za izobrazbu u iznosu 11.315,31 </w:t>
      </w:r>
      <w:proofErr w:type="spellStart"/>
      <w:r>
        <w:t>Eur</w:t>
      </w:r>
      <w:proofErr w:type="spellEnd"/>
      <w:r>
        <w:t xml:space="preserve">, od toga je utrošeno:  1. Isplata </w:t>
      </w:r>
      <w:proofErr w:type="spellStart"/>
      <w:r>
        <w:t>nakande</w:t>
      </w:r>
      <w:proofErr w:type="spellEnd"/>
      <w:r>
        <w:t xml:space="preserve"> za rad osobama na projektu  - 6.613,23</w:t>
      </w:r>
      <w:r>
        <w:t xml:space="preserve">‬  </w:t>
      </w:r>
      <w:proofErr w:type="spellStart"/>
      <w:r>
        <w:t>Eur</w:t>
      </w:r>
      <w:proofErr w:type="spellEnd"/>
      <w:r>
        <w:t xml:space="preserve"> 3. Službena putovanja dnevn</w:t>
      </w:r>
      <w:r>
        <w:t xml:space="preserve">ice 1.800,00 </w:t>
      </w:r>
      <w:proofErr w:type="spellStart"/>
      <w:r>
        <w:t>Eur</w:t>
      </w:r>
      <w:proofErr w:type="spellEnd"/>
      <w:r>
        <w:t xml:space="preserve"> 2. Obveze za smještaj na službenom putu u inozemstvu - 1.316,34 </w:t>
      </w:r>
      <w:proofErr w:type="spellStart"/>
      <w:r>
        <w:t>Eur</w:t>
      </w:r>
      <w:proofErr w:type="spellEnd"/>
      <w:r>
        <w:t xml:space="preserve"> 3. Obveze za prijevoz na službenom putu u zemlji - 383,96 </w:t>
      </w:r>
      <w:proofErr w:type="spellStart"/>
      <w:r>
        <w:t>Eur</w:t>
      </w:r>
      <w:proofErr w:type="spellEnd"/>
      <w:r>
        <w:t xml:space="preserve"> 4.. Ostali rashodi za službena putovanja  34,00 </w:t>
      </w:r>
      <w:proofErr w:type="spellStart"/>
      <w:r>
        <w:t>Eur</w:t>
      </w:r>
      <w:proofErr w:type="spellEnd"/>
      <w:r>
        <w:t xml:space="preserve"> 5. Reprezentacija - 1.167,78 </w:t>
      </w:r>
      <w:proofErr w:type="spellStart"/>
      <w:r>
        <w:t>Eur</w:t>
      </w:r>
      <w:proofErr w:type="spellEnd"/>
      <w:r>
        <w:t>  </w:t>
      </w:r>
    </w:p>
    <w:p w:rsidR="005E0C6D" w:rsidRDefault="00734B66">
      <w:r>
        <w:t> 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613,6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>Prihodi od najma prostora Centra za izobrazbu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>Prihodi od ambalažnog otpada.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50.414,40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116.004,23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230,1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Povećanje rashoda se odnosi na plaćanje </w:t>
      </w:r>
      <w:proofErr w:type="spellStart"/>
      <w:r>
        <w:t>predavaća</w:t>
      </w:r>
      <w:proofErr w:type="spellEnd"/>
      <w:r>
        <w:t xml:space="preserve"> radi provođenja većeg broja temeljnih tečaja vježbenika pravosudne policije, te izobrazbi za službenike.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8.667,28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28.419,79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327,9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>Povećanje se odnosi za plaćanje naknada za ispitnu komisiju. 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>Rashodi se odnose na nabavu barkod čitača, nabavu uredskog namještaja.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Instrumenti i </w:t>
            </w:r>
            <w:r>
              <w:rPr>
                <w:sz w:val="18"/>
              </w:rPr>
              <w:t>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Rashod se odnosi na </w:t>
      </w:r>
      <w:proofErr w:type="spellStart"/>
      <w:r>
        <w:t>nabvu</w:t>
      </w:r>
      <w:proofErr w:type="spellEnd"/>
      <w:r>
        <w:t xml:space="preserve"> </w:t>
      </w:r>
      <w:proofErr w:type="spellStart"/>
      <w:r>
        <w:t>usisavča</w:t>
      </w:r>
      <w:proofErr w:type="spellEnd"/>
      <w:r>
        <w:t>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</w:t>
            </w:r>
            <w:r>
              <w:rPr>
                <w:sz w:val="18"/>
              </w:rPr>
              <w:t>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proofErr w:type="spellStart"/>
      <w:r>
        <w:t>Rrashod</w:t>
      </w:r>
      <w:proofErr w:type="spellEnd"/>
      <w:r>
        <w:t xml:space="preserve"> se odnosi za nabavu stroja za pranje rublja.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>Ustupanje knjiga od Kaznionice u Lepoglavi.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21.216,54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21,8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Odnosi se na ustupanje knjiga iz Kaznionice u Lepoglavi, te ustupanje računala iz MPUDT u iznosu 21.127,50 </w:t>
      </w:r>
      <w:proofErr w:type="spellStart"/>
      <w:r>
        <w:t>Eur</w:t>
      </w:r>
      <w:proofErr w:type="spellEnd"/>
      <w:r>
        <w:t xml:space="preserve">, te Ustupanje Kaznionici u Požegi klupe i stolice u iznosu 4.302,44 </w:t>
      </w:r>
      <w:proofErr w:type="spellStart"/>
      <w:r>
        <w:t>Eur</w:t>
      </w:r>
      <w:proofErr w:type="spellEnd"/>
      <w:r>
        <w:t xml:space="preserve">, te Kaznionici u Lepoglavi hladnjak u </w:t>
      </w:r>
      <w:proofErr w:type="spellStart"/>
      <w:r>
        <w:t>izosu</w:t>
      </w:r>
      <w:proofErr w:type="spellEnd"/>
      <w:r>
        <w:t xml:space="preserve"> 331,45 </w:t>
      </w:r>
      <w:proofErr w:type="spellStart"/>
      <w:r>
        <w:t>Eur</w:t>
      </w:r>
      <w:proofErr w:type="spellEnd"/>
      <w:r>
        <w:t>.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b/>
          <w:sz w:val="28"/>
        </w:rPr>
        <w:t>Izvještaj o obve</w:t>
      </w:r>
      <w:r>
        <w:rPr>
          <w:b/>
          <w:sz w:val="28"/>
        </w:rPr>
        <w:t>zama</w:t>
      </w:r>
    </w:p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lastRenderedPageBreak/>
        <w:t xml:space="preserve">Obveza se odnosi na račune koji su </w:t>
      </w:r>
      <w:proofErr w:type="spellStart"/>
      <w:r>
        <w:t>dostvaljeni</w:t>
      </w:r>
      <w:proofErr w:type="spellEnd"/>
      <w:r>
        <w:t xml:space="preserve"> putem pošte, te nisu mogli biti plaćeni na vrijeme putem Državne riznice</w:t>
      </w:r>
    </w:p>
    <w:p w:rsidR="005E0C6D" w:rsidRDefault="00734B66">
      <w:r>
        <w:t> </w:t>
      </w:r>
    </w:p>
    <w:p w:rsidR="005E0C6D" w:rsidRDefault="005E0C6D"/>
    <w:p w:rsidR="005E0C6D" w:rsidRDefault="00734B6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E0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0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5E0C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D231A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0C6D" w:rsidRDefault="00734B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0C6D" w:rsidRDefault="005E0C6D">
      <w:pPr>
        <w:spacing w:after="0"/>
      </w:pPr>
    </w:p>
    <w:p w:rsidR="005E0C6D" w:rsidRDefault="00734B66">
      <w:r>
        <w:t xml:space="preserve">Obveza se odnosi na račune koji su </w:t>
      </w:r>
      <w:proofErr w:type="spellStart"/>
      <w:r>
        <w:t>dostvaljeni</w:t>
      </w:r>
      <w:proofErr w:type="spellEnd"/>
      <w:r>
        <w:t xml:space="preserve"> putem pošte, te nisu mogli biti plaćeni na vrijeme putem Državne riznice</w:t>
      </w:r>
    </w:p>
    <w:p w:rsidR="005E0C6D" w:rsidRDefault="005E0C6D"/>
    <w:sectPr w:rsidR="005E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0C6D"/>
    <w:rsid w:val="005E0C6D"/>
    <w:rsid w:val="007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Hrvoje Jagunić</cp:lastModifiedBy>
  <cp:revision>2</cp:revision>
  <dcterms:created xsi:type="dcterms:W3CDTF">2026-02-06T14:37:00Z</dcterms:created>
  <dcterms:modified xsi:type="dcterms:W3CDTF">2026-02-06T14:40:00Z</dcterms:modified>
</cp:coreProperties>
</file>